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3B0796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</w:t>
      </w:r>
      <w:r w:rsidR="00A54A8E">
        <w:rPr>
          <w:b/>
          <w:sz w:val="28"/>
          <w:szCs w:val="28"/>
          <w:lang w:val="ru-RU"/>
        </w:rPr>
        <w:t>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B90FAA" w:rsidRDefault="003878AD" w:rsidP="0062496A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B90FAA">
              <w:rPr>
                <w:kern w:val="2"/>
                <w:sz w:val="26"/>
                <w:szCs w:val="26"/>
                <w:lang w:val="ru-RU"/>
              </w:rPr>
              <w:t xml:space="preserve">   29 ноября</w:t>
            </w:r>
            <w:bookmarkStart w:id="0" w:name="_GoBack"/>
            <w:bookmarkEnd w:id="0"/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96A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B90FAA">
              <w:rPr>
                <w:kern w:val="2"/>
                <w:sz w:val="26"/>
                <w:szCs w:val="26"/>
                <w:lang w:val="ru-RU"/>
              </w:rPr>
              <w:t>26</w:t>
            </w:r>
          </w:p>
        </w:tc>
      </w:tr>
      <w:tr w:rsidR="00AD7972" w:rsidRPr="00087F8D" w:rsidTr="00A54A8E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7972" w:rsidRPr="00A54A8E" w:rsidRDefault="003B0796" w:rsidP="00496A3B">
            <w:pPr>
              <w:rPr>
                <w:b/>
                <w:kern w:val="2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kern w:val="2"/>
                <w:sz w:val="22"/>
                <w:szCs w:val="22"/>
                <w:lang w:val="ru-RU"/>
              </w:rPr>
              <w:t>п.Сагуны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3B0796" w:rsidP="00FE16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Берёзовск</w:t>
            </w:r>
            <w:proofErr w:type="spellEnd"/>
            <w:r w:rsidR="00A54A8E">
              <w:rPr>
                <w:sz w:val="26"/>
                <w:szCs w:val="26"/>
                <w:lang w:val="ru-RU"/>
              </w:rPr>
              <w:t>ого</w:t>
            </w:r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A54A8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B90FAA">
              <w:rPr>
                <w:sz w:val="26"/>
                <w:szCs w:val="26"/>
                <w:lang w:val="ru-RU"/>
              </w:rPr>
              <w:t>27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B90FAA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3B0796">
              <w:rPr>
                <w:sz w:val="26"/>
                <w:szCs w:val="26"/>
              </w:rPr>
              <w:t>Берёзовск</w:t>
            </w:r>
            <w:r w:rsidR="00A54A8E" w:rsidRPr="00A54A8E">
              <w:rPr>
                <w:sz w:val="26"/>
                <w:szCs w:val="26"/>
              </w:rPr>
              <w:t xml:space="preserve">ого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</w:t>
      </w:r>
      <w:proofErr w:type="gramStart"/>
      <w:r w:rsidRPr="0062496A">
        <w:rPr>
          <w:sz w:val="26"/>
          <w:szCs w:val="26"/>
        </w:rPr>
        <w:t xml:space="preserve">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r w:rsidR="003B0796">
        <w:rPr>
          <w:sz w:val="26"/>
          <w:szCs w:val="26"/>
          <w:lang w:val="ru-RU"/>
        </w:rPr>
        <w:t>Берёзовск</w:t>
      </w:r>
      <w:r w:rsidR="00A54A8E">
        <w:rPr>
          <w:sz w:val="26"/>
          <w:szCs w:val="26"/>
          <w:lang w:val="ru-RU"/>
        </w:rPr>
        <w:t>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A54A8E">
        <w:rPr>
          <w:sz w:val="26"/>
          <w:szCs w:val="26"/>
          <w:lang w:val="ru-RU"/>
        </w:rPr>
        <w:t xml:space="preserve">экспертным заключением правового управления Правительства Воронежской области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r w:rsidR="003B0796">
        <w:rPr>
          <w:sz w:val="26"/>
          <w:szCs w:val="26"/>
          <w:lang w:val="ru-RU"/>
        </w:rPr>
        <w:t>Берёзовск</w:t>
      </w:r>
      <w:r w:rsidR="00A54A8E">
        <w:rPr>
          <w:sz w:val="26"/>
          <w:szCs w:val="26"/>
          <w:lang w:val="ru-RU"/>
        </w:rPr>
        <w:t>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B90FAA">
        <w:rPr>
          <w:sz w:val="26"/>
          <w:szCs w:val="26"/>
          <w:lang w:val="ru-RU"/>
        </w:rPr>
        <w:t>27</w:t>
      </w:r>
      <w:r w:rsidR="00534071" w:rsidRPr="00534071">
        <w:rPr>
          <w:sz w:val="26"/>
          <w:szCs w:val="26"/>
          <w:lang w:val="ru-RU"/>
        </w:rPr>
        <w:t>.11.2019 года №1</w:t>
      </w:r>
      <w:r w:rsidR="00B90FAA">
        <w:rPr>
          <w:sz w:val="26"/>
          <w:szCs w:val="26"/>
          <w:lang w:val="ru-RU"/>
        </w:rPr>
        <w:t>6</w:t>
      </w:r>
      <w:r w:rsidR="00534071" w:rsidRPr="00534071">
        <w:rPr>
          <w:sz w:val="26"/>
          <w:szCs w:val="26"/>
          <w:lang w:val="ru-RU"/>
        </w:rPr>
        <w:t xml:space="preserve"> «О</w:t>
      </w:r>
      <w:r w:rsidR="00A54A8E">
        <w:rPr>
          <w:sz w:val="26"/>
          <w:szCs w:val="26"/>
          <w:lang w:val="ru-RU"/>
        </w:rPr>
        <w:t xml:space="preserve"> введении в действие</w:t>
      </w:r>
      <w:r w:rsidR="00534071" w:rsidRPr="00534071">
        <w:rPr>
          <w:sz w:val="26"/>
          <w:szCs w:val="26"/>
          <w:lang w:val="ru-RU"/>
        </w:rPr>
        <w:t xml:space="preserve"> земельного налога на территории </w:t>
      </w:r>
      <w:r w:rsidR="003B0796">
        <w:rPr>
          <w:sz w:val="26"/>
          <w:szCs w:val="26"/>
          <w:lang w:val="ru-RU"/>
        </w:rPr>
        <w:t>Берёзовск</w:t>
      </w:r>
      <w:r w:rsidR="00A54A8E">
        <w:rPr>
          <w:sz w:val="26"/>
          <w:szCs w:val="26"/>
          <w:lang w:val="ru-RU"/>
        </w:rPr>
        <w:t>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3B0796">
        <w:rPr>
          <w:sz w:val="26"/>
          <w:szCs w:val="26"/>
        </w:rPr>
        <w:t>Берёзовск</w:t>
      </w:r>
      <w:r w:rsidR="00A54A8E">
        <w:rPr>
          <w:sz w:val="26"/>
          <w:szCs w:val="26"/>
        </w:rPr>
        <w:t>ого</w:t>
      </w:r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  <w:proofErr w:type="gram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r w:rsidR="003B0796">
        <w:rPr>
          <w:spacing w:val="-4"/>
          <w:sz w:val="26"/>
          <w:szCs w:val="26"/>
          <w:lang w:val="ru-RU"/>
        </w:rPr>
        <w:t>Берёзовск</w:t>
      </w:r>
      <w:r w:rsidR="00A54A8E">
        <w:rPr>
          <w:spacing w:val="-4"/>
          <w:sz w:val="26"/>
          <w:szCs w:val="26"/>
          <w:lang w:val="ru-RU"/>
        </w:rPr>
        <w:t>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B90FAA">
        <w:rPr>
          <w:spacing w:val="-4"/>
          <w:sz w:val="26"/>
          <w:szCs w:val="26"/>
          <w:lang w:val="ru-RU"/>
        </w:rPr>
        <w:t>27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B90FAA">
        <w:rPr>
          <w:spacing w:val="-4"/>
          <w:sz w:val="26"/>
          <w:szCs w:val="26"/>
          <w:lang w:val="ru-RU"/>
        </w:rPr>
        <w:t>6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r w:rsidR="003B0796">
        <w:rPr>
          <w:spacing w:val="-4"/>
          <w:sz w:val="26"/>
          <w:szCs w:val="26"/>
          <w:lang w:val="ru-RU"/>
        </w:rPr>
        <w:t>Берёзовск</w:t>
      </w:r>
      <w:r w:rsidR="00A54A8E">
        <w:rPr>
          <w:spacing w:val="-4"/>
          <w:sz w:val="26"/>
          <w:szCs w:val="26"/>
          <w:lang w:val="ru-RU"/>
        </w:rPr>
        <w:t>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lastRenderedPageBreak/>
        <w:t>1.1.</w:t>
      </w:r>
      <w:r w:rsidR="00466D23">
        <w:rPr>
          <w:spacing w:val="-4"/>
          <w:sz w:val="26"/>
          <w:szCs w:val="26"/>
          <w:lang w:val="ru-RU"/>
        </w:rPr>
        <w:t xml:space="preserve"> Пункты 2, 3, 4, 6, 7, 8.1, 9.1 </w:t>
      </w:r>
      <w:r w:rsidR="00466D23" w:rsidRPr="00466D23">
        <w:rPr>
          <w:spacing w:val="-4"/>
          <w:sz w:val="26"/>
          <w:szCs w:val="26"/>
          <w:lang w:val="ru-RU"/>
        </w:rPr>
        <w:t>признать утратившим</w:t>
      </w:r>
      <w:r w:rsidR="00466D23">
        <w:rPr>
          <w:spacing w:val="-4"/>
          <w:sz w:val="26"/>
          <w:szCs w:val="26"/>
          <w:lang w:val="ru-RU"/>
        </w:rPr>
        <w:t>и</w:t>
      </w:r>
      <w:r w:rsidR="00466D23" w:rsidRPr="00466D23">
        <w:rPr>
          <w:spacing w:val="-4"/>
          <w:sz w:val="26"/>
          <w:szCs w:val="26"/>
          <w:lang w:val="ru-RU"/>
        </w:rPr>
        <w:t xml:space="preserve"> силу;</w:t>
      </w:r>
    </w:p>
    <w:p w:rsidR="00466D2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1.2</w:t>
      </w:r>
      <w:r w:rsidR="00466D23">
        <w:rPr>
          <w:spacing w:val="-4"/>
          <w:sz w:val="26"/>
          <w:szCs w:val="26"/>
          <w:lang w:val="ru-RU"/>
        </w:rPr>
        <w:t xml:space="preserve">. </w:t>
      </w:r>
      <w:r w:rsidR="009E7565">
        <w:rPr>
          <w:spacing w:val="-4"/>
          <w:sz w:val="26"/>
          <w:szCs w:val="26"/>
          <w:lang w:val="ru-RU"/>
        </w:rPr>
        <w:t>Дополнить решение пунктом 5.1. следующего содержания:</w:t>
      </w:r>
    </w:p>
    <w:p w:rsidR="009E7565" w:rsidRDefault="009E7565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«5.1. </w:t>
      </w:r>
      <w:r w:rsidR="00B7114F">
        <w:rPr>
          <w:spacing w:val="-4"/>
          <w:sz w:val="26"/>
          <w:szCs w:val="26"/>
          <w:lang w:val="ru-RU"/>
        </w:rPr>
        <w:t>Порядок уплаты налога в отношении налогоплательщиков - организаций определяется в соответствии со ст. 397 Налогового кодекса Российской Федерации.»</w:t>
      </w:r>
      <w:r w:rsidR="000D22F4">
        <w:rPr>
          <w:spacing w:val="-4"/>
          <w:sz w:val="26"/>
          <w:szCs w:val="26"/>
          <w:lang w:val="ru-RU"/>
        </w:rPr>
        <w:t>;</w:t>
      </w:r>
    </w:p>
    <w:p w:rsidR="000D22F4" w:rsidRPr="002C3AA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0D22F4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3</w:t>
      </w:r>
      <w:r w:rsidRPr="000D22F4">
        <w:rPr>
          <w:spacing w:val="-4"/>
          <w:sz w:val="26"/>
          <w:szCs w:val="26"/>
          <w:lang w:val="ru-RU"/>
        </w:rPr>
        <w:t>. Пункт 10 р</w:t>
      </w:r>
      <w:r>
        <w:rPr>
          <w:spacing w:val="-4"/>
          <w:sz w:val="26"/>
          <w:szCs w:val="26"/>
          <w:lang w:val="ru-RU"/>
        </w:rPr>
        <w:t>ешения признать утратившим силу.</w:t>
      </w:r>
    </w:p>
    <w:p w:rsidR="009621C3" w:rsidRDefault="00547FAC" w:rsidP="008F69DB">
      <w:pPr>
        <w:spacing w:line="360" w:lineRule="auto"/>
        <w:ind w:firstLine="709"/>
        <w:jc w:val="both"/>
        <w:rPr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proofErr w:type="gramStart"/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>е  в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Вестнике муниципальных правовых актов </w:t>
      </w:r>
      <w:r w:rsidR="003B0796">
        <w:rPr>
          <w:spacing w:val="-4"/>
          <w:sz w:val="26"/>
          <w:szCs w:val="26"/>
          <w:lang w:val="ru-RU"/>
        </w:rPr>
        <w:t>Берёзовск</w:t>
      </w:r>
      <w:r w:rsidR="00A54A8E">
        <w:rPr>
          <w:spacing w:val="-4"/>
          <w:sz w:val="26"/>
          <w:szCs w:val="26"/>
          <w:lang w:val="ru-RU"/>
        </w:rPr>
        <w:t>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>
        <w:rPr>
          <w:spacing w:val="-4"/>
          <w:sz w:val="26"/>
          <w:szCs w:val="26"/>
          <w:lang w:val="ru-RU"/>
        </w:rPr>
        <w:t xml:space="preserve"> </w:t>
      </w:r>
      <w:r w:rsidR="00E93287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 w:rsidR="00B90FAA" w:rsidRPr="00B90FAA">
        <w:rPr>
          <w:spacing w:val="-4"/>
          <w:sz w:val="26"/>
          <w:szCs w:val="26"/>
          <w:lang w:val="ru-RU"/>
        </w:rPr>
        <w:t>https://berezovskoe-podgorenskij-r20.gosweb.gosuslugi.ru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2C3AA3" w:rsidRDefault="009621C3" w:rsidP="00466D23">
      <w:pPr>
        <w:spacing w:line="360" w:lineRule="auto"/>
        <w:ind w:firstLine="709"/>
        <w:jc w:val="both"/>
        <w:rPr>
          <w:sz w:val="26"/>
          <w:szCs w:val="26"/>
        </w:rPr>
      </w:pPr>
      <w:r w:rsidRPr="00EB4A12">
        <w:rPr>
          <w:sz w:val="26"/>
          <w:szCs w:val="26"/>
          <w:lang w:val="ru-RU"/>
        </w:rPr>
        <w:t>3.</w:t>
      </w:r>
      <w:r>
        <w:rPr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 xml:space="preserve">Контроль за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r w:rsidR="003B0796">
        <w:rPr>
          <w:sz w:val="26"/>
          <w:szCs w:val="26"/>
        </w:rPr>
        <w:t>Берёзовск</w:t>
      </w:r>
      <w:r w:rsidR="00A54A8E">
        <w:rPr>
          <w:sz w:val="26"/>
          <w:szCs w:val="26"/>
        </w:rPr>
        <w:t>ого</w:t>
      </w:r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proofErr w:type="gramStart"/>
      <w:r w:rsidRPr="002C3AA3">
        <w:rPr>
          <w:sz w:val="26"/>
          <w:szCs w:val="26"/>
        </w:rPr>
        <w:t>сельского</w:t>
      </w:r>
      <w:proofErr w:type="gramEnd"/>
      <w:r w:rsidRPr="002C3AA3">
        <w:rPr>
          <w:sz w:val="26"/>
          <w:szCs w:val="26"/>
        </w:rPr>
        <w:t xml:space="preserve"> поселения                                    </w:t>
      </w:r>
      <w:r w:rsidR="003B0796">
        <w:rPr>
          <w:sz w:val="26"/>
          <w:szCs w:val="26"/>
        </w:rPr>
        <w:t xml:space="preserve">                     </w:t>
      </w:r>
      <w:r w:rsidRPr="002C3AA3">
        <w:rPr>
          <w:sz w:val="26"/>
          <w:szCs w:val="26"/>
        </w:rPr>
        <w:t xml:space="preserve"> </w:t>
      </w:r>
      <w:r w:rsidR="003B0796">
        <w:rPr>
          <w:sz w:val="26"/>
          <w:szCs w:val="26"/>
        </w:rPr>
        <w:t>Г.Н.Касьянова</w:t>
      </w:r>
      <w:r w:rsidRPr="002C3AA3">
        <w:rPr>
          <w:sz w:val="26"/>
          <w:szCs w:val="26"/>
        </w:rPr>
        <w:t xml:space="preserve">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B0796"/>
    <w:rsid w:val="003B3369"/>
    <w:rsid w:val="003C78C7"/>
    <w:rsid w:val="003F5C81"/>
    <w:rsid w:val="00432300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0FAA"/>
    <w:rsid w:val="00B91EAF"/>
    <w:rsid w:val="00BF210C"/>
    <w:rsid w:val="00CD6751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B38A9-8D5A-4F60-9693-ED1340E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DEXP-1</cp:lastModifiedBy>
  <cp:revision>11</cp:revision>
  <cp:lastPrinted>2024-12-03T05:58:00Z</cp:lastPrinted>
  <dcterms:created xsi:type="dcterms:W3CDTF">2024-11-20T11:22:00Z</dcterms:created>
  <dcterms:modified xsi:type="dcterms:W3CDTF">2024-12-03T06:02:00Z</dcterms:modified>
</cp:coreProperties>
</file>