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33" w:rsidRPr="003D0831" w:rsidRDefault="00553B33" w:rsidP="003D08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0C16" w:rsidRPr="007C194C" w:rsidRDefault="003D0831" w:rsidP="00790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НАРОДНЫХ ДЕПУТАТОВ</w:t>
      </w:r>
    </w:p>
    <w:p w:rsidR="00790C16" w:rsidRPr="007C194C" w:rsidRDefault="00437FB1" w:rsidP="00790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БЕРЁЗОВСК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СЕЛЬСКОГО ПОСЕЛЕНИЯ</w:t>
      </w:r>
    </w:p>
    <w:p w:rsidR="00790C16" w:rsidRPr="007C194C" w:rsidRDefault="00790C16" w:rsidP="00790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ПОДГОРЕНСКОГО МУНИЦИПАЛЬНОГО РАЙОНА</w:t>
      </w: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ВОРОНЕЖСКОЙ ОБЛАСТИ</w:t>
      </w:r>
    </w:p>
    <w:p w:rsidR="00790C16" w:rsidRPr="007C194C" w:rsidRDefault="003D0831" w:rsidP="00790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790C16" w:rsidRPr="007C194C" w:rsidRDefault="00790C16" w:rsidP="00790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0C16" w:rsidRPr="007C194C" w:rsidRDefault="001A553D" w:rsidP="00790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18</w:t>
      </w:r>
      <w:r w:rsidR="00DB51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сентября 2023 года № 15</w:t>
      </w:r>
    </w:p>
    <w:p w:rsidR="00790C16" w:rsidRPr="007C194C" w:rsidRDefault="00790C16" w:rsidP="00790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пос.Сагуны</w:t>
      </w:r>
      <w:proofErr w:type="spellEnd"/>
    </w:p>
    <w:p w:rsidR="00B05C8C" w:rsidRDefault="00B05C8C" w:rsidP="00323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06F" w:rsidRDefault="0032306F" w:rsidP="00323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изменений и дополнений в решение Совета </w:t>
      </w:r>
    </w:p>
    <w:p w:rsidR="0032306F" w:rsidRDefault="0032306F" w:rsidP="00323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депутатов Берёзовского сельского </w:t>
      </w:r>
    </w:p>
    <w:p w:rsidR="0032306F" w:rsidRDefault="0032306F" w:rsidP="00323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Pr="00073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14.09.2018 г. № 24  </w:t>
      </w:r>
    </w:p>
    <w:p w:rsidR="0032306F" w:rsidRDefault="0032306F" w:rsidP="00323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долгосрочной муниципальной </w:t>
      </w:r>
    </w:p>
    <w:p w:rsidR="0032306F" w:rsidRDefault="0032306F" w:rsidP="00323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06F" w:rsidRDefault="0032306F" w:rsidP="00323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D0831">
        <w:rPr>
          <w:rFonts w:ascii="Times New Roman" w:hAnsi="Times New Roman" w:cs="Times New Roman"/>
          <w:sz w:val="26"/>
          <w:szCs w:val="26"/>
        </w:rPr>
        <w:t>инфраструктуры</w:t>
      </w:r>
      <w:proofErr w:type="gramEnd"/>
      <w:r w:rsidRPr="003D08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овского сельского </w:t>
      </w:r>
    </w:p>
    <w:p w:rsidR="0032306F" w:rsidRDefault="0032306F" w:rsidP="00323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D0831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Pr="003D0831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</w:t>
      </w:r>
    </w:p>
    <w:p w:rsidR="00790C16" w:rsidRPr="007C194C" w:rsidRDefault="0032306F" w:rsidP="00323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D0831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3D0831">
        <w:rPr>
          <w:rFonts w:ascii="Times New Roman" w:hAnsi="Times New Roman" w:cs="Times New Roman"/>
          <w:sz w:val="26"/>
          <w:szCs w:val="26"/>
        </w:rPr>
        <w:t xml:space="preserve"> Воронежск</w:t>
      </w:r>
      <w:r>
        <w:rPr>
          <w:rFonts w:ascii="Times New Roman" w:hAnsi="Times New Roman" w:cs="Times New Roman"/>
          <w:sz w:val="26"/>
          <w:szCs w:val="26"/>
        </w:rPr>
        <w:t>ой области на 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90C16" w:rsidRPr="007C194C" w:rsidRDefault="00790C16" w:rsidP="00790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0C16" w:rsidRPr="007C194C" w:rsidRDefault="003D0831" w:rsidP="00E1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  от 06.10.2003 года № 131-ФЗ «Об общих принципах организации местного самоуправления в Российской Федерации»,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года № 1050 «Об утверждении требований к программам комплексного развития  социальной инфраструктуры поселений, городских округов»,  Уставом </w:t>
      </w:r>
      <w:r w:rsidR="00437F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Берёзовск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сельского посел</w:t>
      </w: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ения, Совет народных депутатов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7F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Берёзовск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сельского поселения</w:t>
      </w:r>
    </w:p>
    <w:p w:rsidR="00790C16" w:rsidRPr="007C194C" w:rsidRDefault="003D0831" w:rsidP="00E13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 Е Ш И Л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C194C" w:rsidRPr="00C0055A" w:rsidRDefault="0032306F" w:rsidP="00C005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 w:rsidR="00437FB1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следующие </w:t>
      </w:r>
      <w:r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и дополнения в решение Совета народных депутатов Берёзовского сельского поселения от 14.09.2018 г. № 24 «Об утверждении </w:t>
      </w:r>
      <w:r w:rsidR="00790C16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ограммы</w:t>
      </w:r>
      <w:r w:rsidR="00790C16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комплексного развития</w:t>
      </w:r>
      <w:r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социальной </w:t>
      </w:r>
      <w:proofErr w:type="gramStart"/>
      <w:r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инфраструктуры  Берё</w:t>
      </w:r>
      <w:r w:rsidR="00790C16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зовского</w:t>
      </w:r>
      <w:proofErr w:type="gramEnd"/>
      <w:r w:rsidR="00790C16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</w:t>
      </w:r>
      <w:r w:rsidR="003B4807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ронежской области на 2017 - 2030</w:t>
      </w:r>
      <w:r w:rsidR="00790C16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</w:t>
      </w:r>
      <w:r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437FB1"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1.1.Дополнив </w:t>
      </w:r>
      <w:r w:rsidR="00FA6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="00FA6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68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подпунктами :</w:t>
      </w:r>
      <w:proofErr w:type="gramEnd"/>
    </w:p>
    <w:p w:rsidR="00D91DE2" w:rsidRDefault="00D91DE2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055A" w:rsidRDefault="00FA68FF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00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</w:t>
      </w:r>
      <w:r w:rsidR="00C0055A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Технико-экономические параметры существующих объектов социальн</w:t>
      </w:r>
      <w:r w:rsidR="00C0055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ой инфраструктуры Берёзовского сельского поселения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07E3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наземных, пешеходных и дистанционных, в пределах муниципального образования – территории Берёзовского сельского поселения.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кредитно-финансовые учреждения и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предприятия связи, административные организации и другие учреждения и предприятия обслуживания.</w:t>
      </w:r>
    </w:p>
    <w:p w:rsidR="00C0055A" w:rsidRPr="00BD75B5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BD75B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 систему образования Берёзовского сельского поселения входит: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детский сад в посёлке Красный Восход, емкостью 6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0 мест, с фактической загрузкой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– 38 человек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C0055A" w:rsidRPr="00720EDD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Березовская СОШ, емкостью 200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мес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т, с фактической загрузкой – 128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человек;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здравоохранения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в поселке Красный Восход работает ФАП, с мощностью 8 посещений/смена.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обеспеченности муниципального образования учреждениями здравоохранения требует специального и достаточно специализированного медицинского исследования. Доступность амбулаторий, ФАП и аптек в сельской местности прини</w:t>
      </w:r>
      <w:r w:rsidR="00115213">
        <w:rPr>
          <w:rFonts w:ascii="Times New Roman" w:eastAsia="Times New Roman" w:hAnsi="Times New Roman" w:cs="Times New Roman"/>
          <w:sz w:val="26"/>
          <w:szCs w:val="26"/>
          <w:lang w:bidi="en-US"/>
        </w:rPr>
        <w:t>мается в пределах 30 минут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радиус обслуживания объектов здравоохранения </w:t>
      </w:r>
      <w:r w:rsidR="0011521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охватывает</w:t>
      </w:r>
      <w:r w:rsidR="0011521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="0011521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все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населенные пункты поселения.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Основными задачами обеспечения устойчивого развити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я здравоохранения Берёзовского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на расчетную перспективу остаются: 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предоставление населению бесплатной качественной и своевременной медицинской помощи;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средств в сфере;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кратное снижение показателей смертности;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391B2A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статье 14 Федерального закона № 131-ФЗ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C0055A" w:rsidRDefault="00B77AD5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Берёзовском</w:t>
      </w:r>
      <w:proofErr w:type="spellEnd"/>
      <w:r w:rsidR="00C0055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функционируют:</w:t>
      </w:r>
    </w:p>
    <w:p w:rsidR="00C0055A" w:rsidRDefault="00B77AD5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C0055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СДК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пос.Красный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Восход </w:t>
      </w:r>
      <w:r w:rsidR="00C0055A">
        <w:rPr>
          <w:rFonts w:ascii="Times New Roman" w:eastAsia="Times New Roman" w:hAnsi="Times New Roman" w:cs="Times New Roman"/>
          <w:sz w:val="26"/>
          <w:szCs w:val="26"/>
          <w:lang w:bidi="en-US"/>
        </w:rPr>
        <w:t>емкостью 450 мест;</w:t>
      </w:r>
    </w:p>
    <w:p w:rsidR="00C0055A" w:rsidRDefault="00B77AD5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 СДК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с.Берёзово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емкостью 4</w:t>
      </w:r>
      <w:r w:rsidR="00C0055A">
        <w:rPr>
          <w:rFonts w:ascii="Times New Roman" w:eastAsia="Times New Roman" w:hAnsi="Times New Roman" w:cs="Times New Roman"/>
          <w:sz w:val="26"/>
          <w:szCs w:val="26"/>
          <w:lang w:bidi="en-US"/>
        </w:rPr>
        <w:t>00 мест;</w:t>
      </w:r>
    </w:p>
    <w:p w:rsidR="00C0055A" w:rsidRDefault="00C0055A" w:rsidP="00B77AD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Зональная библиотека с общим книжным фон</w:t>
      </w:r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дом – 10161 том.</w:t>
      </w: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В соответствии с нормами градостроительного проектирования 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учреждений, учреждений отдуха и культуры.</w:t>
      </w: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Перечень спортивных сооружений на территории сельского поселения:</w:t>
      </w: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</w:t>
      </w:r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спортивный зал при </w:t>
      </w:r>
      <w:proofErr w:type="spellStart"/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Берёзовской</w:t>
      </w:r>
      <w:proofErr w:type="spellEnd"/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5</w:t>
      </w:r>
      <w:r w:rsidR="00D91DE2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.;</w:t>
      </w:r>
    </w:p>
    <w:p w:rsidR="00C0055A" w:rsidRDefault="00C0055A" w:rsidP="00C0055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многофункциональная спортивная площадка при</w:t>
      </w:r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2 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500</w:t>
      </w:r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кв.м</w:t>
      </w:r>
      <w:proofErr w:type="spellEnd"/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объектов физкультурно-спортивной направленности в </w:t>
      </w:r>
      <w:proofErr w:type="spellStart"/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не развита, и имеется один спортивный зал на территории школы, две спортивные площадки.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 территории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принципе нет.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Нехватка спорти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вных сооружений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сегодняшний день является основной проблемой в </w:t>
      </w:r>
      <w:proofErr w:type="spellStart"/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C0055A" w:rsidRDefault="00C0055A" w:rsidP="00755E3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</w:t>
      </w:r>
      <w:r w:rsidR="00B77AD5">
        <w:rPr>
          <w:rFonts w:ascii="Times New Roman" w:eastAsia="Times New Roman" w:hAnsi="Times New Roman" w:cs="Times New Roman"/>
          <w:sz w:val="26"/>
          <w:szCs w:val="26"/>
          <w:lang w:bidi="en-US"/>
        </w:rPr>
        <w:t>ортивных объектов Берёзовского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C0055A" w:rsidRPr="00852F33" w:rsidRDefault="00B77AD5" w:rsidP="00C0055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2.1.2</w:t>
      </w:r>
      <w:r w:rsidR="00C0055A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Прогнозируемый спрос на услуги социальной инфраструктуры.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перспективного развития отраслей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социальной сферы Берёзовского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обеспеченности Берёзовского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C0055A" w:rsidRPr="00852F33" w:rsidRDefault="00C0055A" w:rsidP="00C0055A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C0055A" w:rsidRPr="00852F33" w:rsidRDefault="00C0055A" w:rsidP="00C0055A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C0055A" w:rsidRPr="00852F33" w:rsidRDefault="00C0055A" w:rsidP="00C0055A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Основным принципом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формирования территор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иальной структуры Берёзовского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прогнозом численность населения 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Берёзовского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к сроку реализации пе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рвой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очереди (2020г.) составит 1237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человек, к расчетному сроку генерального плана (2030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г.) - 1256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C0055A" w:rsidRPr="00852F33" w:rsidRDefault="00C0055A" w:rsidP="00C0055A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1. Прогноз демографической структуры населения (по возрастному признаку)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992"/>
      </w:tblGrid>
      <w:tr w:rsidR="00C0055A" w:rsidRPr="00852F33" w:rsidTr="006D2C0D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687" w:type="dxa"/>
            <w:gridSpan w:val="8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C0055A" w:rsidRPr="00852F33" w:rsidTr="006D2C0D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до 59 лет включительно, муж.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</w:t>
            </w:r>
            <w:proofErr w:type="gramEnd"/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</w:tr>
      <w:tr w:rsidR="00C0055A" w:rsidRPr="00852F33" w:rsidTr="006D2C0D">
        <w:trPr>
          <w:trHeight w:val="283"/>
        </w:trPr>
        <w:tc>
          <w:tcPr>
            <w:tcW w:w="9639" w:type="dxa"/>
            <w:gridSpan w:val="9"/>
            <w:shd w:val="clear" w:color="auto" w:fill="auto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C0055A" w:rsidRPr="00852F33" w:rsidTr="006D2C0D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2 462</w:t>
            </w:r>
          </w:p>
        </w:tc>
      </w:tr>
      <w:tr w:rsidR="00C0055A" w:rsidRPr="00852F33" w:rsidTr="006D2C0D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C0055A" w:rsidRPr="00567CA8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055A" w:rsidRPr="00567CA8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45,26</w:t>
            </w:r>
          </w:p>
        </w:tc>
      </w:tr>
    </w:tbl>
    <w:p w:rsidR="00C0055A" w:rsidRPr="00852F33" w:rsidRDefault="00C0055A" w:rsidP="00C0055A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Pr="00852F33" w:rsidRDefault="00C0055A" w:rsidP="00C0055A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852F33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</w:t>
      </w:r>
      <w:r w:rsidR="004F6A4B">
        <w:rPr>
          <w:rFonts w:ascii="Times New Roman" w:hAnsi="Times New Roman" w:cs="Times New Roman"/>
          <w:sz w:val="26"/>
          <w:szCs w:val="26"/>
        </w:rPr>
        <w:t>прирост населения Берёзовского</w:t>
      </w:r>
      <w:r w:rsidRPr="00852F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7"/>
        <w:gridCol w:w="1701"/>
        <w:gridCol w:w="2131"/>
        <w:gridCol w:w="1843"/>
        <w:gridCol w:w="1842"/>
      </w:tblGrid>
      <w:tr w:rsidR="00C0055A" w:rsidRPr="00B15C84" w:rsidTr="006D2C0D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Воздвиженского сельского </w:t>
            </w:r>
          </w:p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01.01.2017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C0055A" w:rsidRPr="00B15C84" w:rsidTr="006D2C0D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C0055A" w:rsidRPr="00B15C84" w:rsidTr="006D2C0D">
        <w:trPr>
          <w:trHeight w:val="375"/>
        </w:trPr>
        <w:tc>
          <w:tcPr>
            <w:tcW w:w="972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C0055A" w:rsidRPr="00B15C84" w:rsidRDefault="004F6A4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Берёзовское</w:t>
            </w:r>
            <w:proofErr w:type="spellEnd"/>
            <w:r w:rsidR="00C0055A"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C0055A" w:rsidRPr="00B15C84" w:rsidTr="006D2C0D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4F6A4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1377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4F6A4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1286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055A" w:rsidRPr="00B15C84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1271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AB2EBE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1256</w:t>
            </w:r>
          </w:p>
        </w:tc>
      </w:tr>
      <w:tr w:rsidR="00C0055A" w:rsidRPr="00B15C84" w:rsidTr="006D2C0D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4F6A4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-91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055A" w:rsidRPr="00B15C84" w:rsidRDefault="00C13A38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AB2E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-15</w:t>
            </w:r>
          </w:p>
        </w:tc>
      </w:tr>
      <w:tr w:rsidR="00C0055A" w:rsidRPr="00B15C84" w:rsidTr="006D2C0D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0055A" w:rsidRPr="00B15C84" w:rsidRDefault="004F6A4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Берёзово</w:t>
            </w:r>
          </w:p>
        </w:tc>
      </w:tr>
      <w:tr w:rsidR="00C0055A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55A" w:rsidRPr="00B15C84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</w:tr>
      <w:tr w:rsidR="00C0055A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55A" w:rsidRPr="00B15C84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</w:t>
            </w:r>
          </w:p>
        </w:tc>
      </w:tr>
      <w:tr w:rsidR="00C0055A" w:rsidRPr="00B15C84" w:rsidTr="006D2C0D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0055A" w:rsidRPr="00B15C84" w:rsidRDefault="009D7087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Сагуны</w:t>
            </w:r>
          </w:p>
        </w:tc>
      </w:tr>
      <w:tr w:rsidR="00C0055A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4A2D5B" w:rsidP="004A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55A" w:rsidRPr="00B15C84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</w:tr>
      <w:tr w:rsidR="009D7087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Прирост</w:t>
            </w:r>
          </w:p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9D7087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087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7087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</w:t>
            </w:r>
          </w:p>
        </w:tc>
      </w:tr>
      <w:tr w:rsidR="009D7087" w:rsidRPr="00B15C84" w:rsidTr="006D2C0D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7087" w:rsidRDefault="009D7087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х.Сухая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Россошь</w:t>
            </w:r>
          </w:p>
        </w:tc>
      </w:tr>
      <w:tr w:rsidR="009D7087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087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7087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</w:tr>
      <w:tr w:rsidR="009D7087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9D7087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087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7087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</w:t>
            </w:r>
          </w:p>
        </w:tc>
      </w:tr>
      <w:tr w:rsidR="004A2D5B" w:rsidRPr="00B15C84" w:rsidTr="00267E9C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A2D5B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Пос. Красный Восход</w:t>
            </w:r>
          </w:p>
        </w:tc>
      </w:tr>
      <w:tr w:rsidR="004A2D5B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D5B" w:rsidRPr="00B15C84" w:rsidRDefault="004A2D5B" w:rsidP="004A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4A2D5B" w:rsidRPr="00B15C84" w:rsidRDefault="004A2D5B" w:rsidP="004A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D5B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D5B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2D5B" w:rsidRDefault="00BC53D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2D5B" w:rsidRDefault="00BC53D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</w:tr>
      <w:tr w:rsidR="004A2D5B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D5B" w:rsidRPr="00B15C84" w:rsidRDefault="004A2D5B" w:rsidP="004A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4A2D5B" w:rsidRPr="00B15C84" w:rsidRDefault="004A2D5B" w:rsidP="004A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D5B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D5B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2D5B" w:rsidRDefault="00BC53D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2D5B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</w:t>
            </w:r>
          </w:p>
        </w:tc>
      </w:tr>
      <w:tr w:rsidR="009D7087" w:rsidRPr="00B15C84" w:rsidTr="006D2C0D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7087" w:rsidRDefault="009D7087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х.Крамарев</w:t>
            </w:r>
            <w:proofErr w:type="spellEnd"/>
          </w:p>
        </w:tc>
      </w:tr>
      <w:tr w:rsidR="009D7087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087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7087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9D7087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9D7087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087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7087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</w:p>
        </w:tc>
      </w:tr>
      <w:tr w:rsidR="009D7087" w:rsidRPr="00B15C84" w:rsidTr="006D2C0D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7087" w:rsidRDefault="009D7087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х.Скорынин</w:t>
            </w:r>
            <w:proofErr w:type="spellEnd"/>
          </w:p>
        </w:tc>
      </w:tr>
      <w:tr w:rsidR="009D7087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D7087" w:rsidRPr="00B15C84" w:rsidRDefault="009D7087" w:rsidP="009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7087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087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7087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0055A" w:rsidRPr="00B15C84" w:rsidTr="006D2C0D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C0055A" w:rsidRPr="00B15C8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055A" w:rsidRPr="00B15C84" w:rsidRDefault="004A2D5B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55A" w:rsidRPr="00B15C84" w:rsidRDefault="00AB2EBE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55A" w:rsidRPr="00B15C84" w:rsidRDefault="00115213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</w:p>
        </w:tc>
      </w:tr>
    </w:tbl>
    <w:p w:rsidR="00C0055A" w:rsidRPr="00B15C84" w:rsidRDefault="00C0055A" w:rsidP="00C0055A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Для целей долгосрочного прогнозирования (до 2045 года) демографическая оценка территории посе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л</w:t>
      </w:r>
      <w:r w:rsidR="00C13A38">
        <w:rPr>
          <w:rFonts w:ascii="Times New Roman" w:eastAsia="Times New Roman" w:hAnsi="Times New Roman" w:cs="Times New Roman"/>
          <w:sz w:val="26"/>
          <w:szCs w:val="26"/>
          <w:lang w:bidi="en-US"/>
        </w:rPr>
        <w:t>ения принимается на уровне 1180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уживания населения Берёзовского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Pr="00852F33" w:rsidRDefault="002811ED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2.1.3</w:t>
      </w:r>
      <w:r w:rsidR="00C0055A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Оценка нормативно-правовой базы, необходимой для функционирования и развития социальн</w:t>
      </w:r>
      <w:r w:rsidR="004F6A4B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ой инфраструктуры Берёзовского</w:t>
      </w:r>
      <w:r w:rsidR="00C0055A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Настоящая программа комплексного развития социальн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Берёзовского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C0055A" w:rsidRPr="00852F33" w:rsidRDefault="00755E3E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)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Берёзовского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сбалансированное, перспективное развитие социальн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Берёзовского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согласно статьи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C0055A" w:rsidRPr="00852F33" w:rsidRDefault="00755E3E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)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Развитие сети социальной инфраструктуры предусматривается на основании г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енерального плана Берёзовского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Генеральный </w:t>
      </w:r>
      <w:r w:rsidR="004F6A4B">
        <w:rPr>
          <w:rFonts w:ascii="Times New Roman" w:eastAsia="Times New Roman" w:hAnsi="Times New Roman" w:cs="Times New Roman"/>
          <w:sz w:val="26"/>
          <w:szCs w:val="26"/>
          <w:lang w:bidi="en-US"/>
        </w:rPr>
        <w:t>план Берёзовского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0055A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территорий. </w:t>
      </w:r>
    </w:p>
    <w:p w:rsidR="00C0055A" w:rsidRPr="00852F33" w:rsidRDefault="00755E3E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)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FA68FF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Берёзовского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</w:t>
      </w:r>
      <w:proofErr w:type="spell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лечебно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профилактических учреждений (далее - ЛПУ) и носят рекомендательный характер.</w:t>
      </w:r>
    </w:p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Pr="00852F33" w:rsidRDefault="00C0055A" w:rsidP="00C0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3. Нормативная потребность субъектов Российской Федерации в объектах физической культуры и спорта.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C0055A" w:rsidRPr="00852F33" w:rsidTr="006D2C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C0055A" w:rsidRPr="00852F33" w:rsidTr="006D2C0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Норматив </w:t>
            </w:r>
            <w:proofErr w:type="spellStart"/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единовремен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ной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пропускной способ-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267E9C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>1000</w:t>
            </w:r>
            <w:r w:rsidR="00C0055A"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="00C0055A"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C0055A" w:rsidRPr="00852F33" w:rsidTr="006D2C0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обеспеченнос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спортивными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соору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жениями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 </w:t>
            </w:r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видам:   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C0055A" w:rsidRPr="00852F33" w:rsidTr="006D2C0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267E9C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</w:t>
            </w:r>
            <w:r w:rsidR="00C0055A"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C0055A" w:rsidRPr="00852F33" w:rsidTr="006D2C0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267E9C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</w:t>
            </w:r>
            <w:r w:rsidR="00C0055A"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5A" w:rsidRPr="00C865C4" w:rsidRDefault="00C0055A" w:rsidP="006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C0055A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Уровень достижения этих нормативов рассчитан до 2015 года (плавательные бассейны в связи с низкой обеспеченностью до 2050 года). Используя усредненные нормативы с учетом национальных и территориальных особенностей, плотности расселения населения, для обеспечения минимальной двигательной активности населения рассчитываются необходимые площади материально - спортивной базы по трем основным типам</w:t>
      </w:r>
      <w:r w:rsidR="0011521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спортивных сооружений на 1000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населения: спортивных залов, плоскостных сооружений, плавательных бассейнов.</w:t>
      </w:r>
    </w:p>
    <w:p w:rsidR="00C0055A" w:rsidRPr="00852F33" w:rsidRDefault="00C0055A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C0055A" w:rsidRPr="00852F33" w:rsidRDefault="00755E3E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)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Функционирование и развитие социальн</w:t>
      </w:r>
      <w:r w:rsidR="00FA68FF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Берёзовского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0055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акона от 22 июля 2008 года 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C0055A" w:rsidRPr="00852F33" w:rsidRDefault="00755E3E" w:rsidP="00C0055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д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)</w:t>
      </w:r>
      <w:r w:rsidR="00C0055A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комплексного развития социальн</w:t>
      </w:r>
      <w:r w:rsidR="00FA68FF">
        <w:rPr>
          <w:rFonts w:ascii="Times New Roman" w:eastAsia="Times New Roman" w:hAnsi="Times New Roman" w:cs="Times New Roman"/>
          <w:sz w:val="26"/>
          <w:szCs w:val="26"/>
          <w:lang w:bidi="en-US"/>
        </w:rPr>
        <w:t>ой инфраструктуры Берёзовского</w:t>
      </w:r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</w:t>
      </w:r>
      <w:proofErr w:type="gramStart"/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городского  округа</w:t>
      </w:r>
      <w:proofErr w:type="gramEnd"/>
      <w:r w:rsidR="00C0055A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областях образования, здравоохранения, физической культуры и массового спорта и культуры. </w:t>
      </w:r>
    </w:p>
    <w:p w:rsidR="002811ED" w:rsidRDefault="00D91DE2" w:rsidP="00D91DE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Пункт 2.3 дополнить абзацем следующего содержания:</w:t>
      </w:r>
    </w:p>
    <w:p w:rsidR="00D91DE2" w:rsidRPr="00852F33" w:rsidRDefault="00D91DE2" w:rsidP="00D91DE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52F33">
        <w:rPr>
          <w:rFonts w:ascii="Times New Roman" w:eastAsia="Calibri" w:hAnsi="Times New Roman" w:cs="Times New Roman"/>
          <w:sz w:val="26"/>
          <w:szCs w:val="26"/>
        </w:rPr>
        <w:t xml:space="preserve">Этапы осуществления Программы: </w:t>
      </w:r>
    </w:p>
    <w:p w:rsidR="00D91DE2" w:rsidRPr="00852F33" w:rsidRDefault="00D91DE2" w:rsidP="00D91DE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52F33">
        <w:rPr>
          <w:rFonts w:ascii="Times New Roman" w:eastAsia="Calibri" w:hAnsi="Times New Roman" w:cs="Times New Roman"/>
          <w:sz w:val="26"/>
          <w:szCs w:val="26"/>
        </w:rPr>
        <w:t>первый</w:t>
      </w:r>
      <w:proofErr w:type="gramEnd"/>
      <w:r w:rsidRPr="00852F33">
        <w:rPr>
          <w:rFonts w:ascii="Times New Roman" w:eastAsia="Calibri" w:hAnsi="Times New Roman" w:cs="Times New Roman"/>
          <w:sz w:val="26"/>
          <w:szCs w:val="26"/>
        </w:rPr>
        <w:t xml:space="preserve"> этап – с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52F33">
        <w:rPr>
          <w:rFonts w:ascii="Times New Roman" w:eastAsia="Calibri" w:hAnsi="Times New Roman" w:cs="Times New Roman"/>
          <w:sz w:val="26"/>
          <w:szCs w:val="26"/>
        </w:rPr>
        <w:t xml:space="preserve"> года по 2020 год; </w:t>
      </w:r>
    </w:p>
    <w:p w:rsidR="00D91DE2" w:rsidRDefault="00D91DE2" w:rsidP="00D91DE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proofErr w:type="gramStart"/>
      <w:r w:rsidRPr="00852F33">
        <w:rPr>
          <w:rFonts w:ascii="Times New Roman" w:eastAsia="Calibri" w:hAnsi="Times New Roman" w:cs="Times New Roman"/>
          <w:sz w:val="26"/>
          <w:szCs w:val="26"/>
        </w:rPr>
        <w:t>второй</w:t>
      </w:r>
      <w:proofErr w:type="gramEnd"/>
      <w:r w:rsidRPr="00852F33">
        <w:rPr>
          <w:rFonts w:ascii="Times New Roman" w:eastAsia="Calibri" w:hAnsi="Times New Roman" w:cs="Times New Roman"/>
          <w:sz w:val="26"/>
          <w:szCs w:val="26"/>
        </w:rPr>
        <w:t xml:space="preserve"> этап – с 2020 года по 2030 год.</w:t>
      </w:r>
    </w:p>
    <w:p w:rsidR="00C0055A" w:rsidRPr="00E22B48" w:rsidRDefault="002811ED" w:rsidP="00C0055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</w:t>
      </w:r>
      <w:r w:rsidR="00C0055A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капитального ремонта объектов социальн</w:t>
      </w:r>
      <w:r w:rsidR="00FA68FF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ой инфраструктуры Берёзовского</w:t>
      </w:r>
      <w:r w:rsidR="00C0055A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C0055A" w:rsidRPr="00E22B48" w:rsidRDefault="00C0055A" w:rsidP="00C0055A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0055A" w:rsidRPr="00E22B48" w:rsidRDefault="00C0055A" w:rsidP="00C0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</w:t>
      </w:r>
      <w:r w:rsidR="00FA68FF">
        <w:rPr>
          <w:rFonts w:ascii="Times New Roman" w:eastAsia="Times New Roman" w:hAnsi="Times New Roman" w:cs="Times New Roman"/>
          <w:sz w:val="26"/>
          <w:szCs w:val="26"/>
          <w:lang w:bidi="en-US"/>
        </w:rPr>
        <w:t>ипального района и Берёзовского</w:t>
      </w: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C0055A" w:rsidRPr="00E22B48" w:rsidRDefault="00C0055A" w:rsidP="00C0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C0055A" w:rsidRPr="00E22B48" w:rsidRDefault="00C0055A" w:rsidP="00C0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C0055A" w:rsidRPr="00FA68FF" w:rsidRDefault="00C0055A" w:rsidP="00FA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790C16" w:rsidRPr="00755E3E" w:rsidRDefault="00437FB1" w:rsidP="00755E3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2306F" w:rsidRPr="003230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2306F" w:rsidRPr="0032306F">
        <w:rPr>
          <w:rFonts w:ascii="Times New Roman" w:hAnsi="Times New Roman"/>
          <w:sz w:val="26"/>
          <w:szCs w:val="26"/>
        </w:rPr>
        <w:t>Настоящее решение вступает в силу с даты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 Подгоренского муниципальн</w:t>
      </w:r>
      <w:r w:rsidR="00755E3E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790C16" w:rsidRPr="007C194C" w:rsidRDefault="00437FB1" w:rsidP="00E1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3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исп</w:t>
      </w:r>
      <w:r w:rsidR="00AF6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олнения настоящего решения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оставляю за собой.</w:t>
      </w:r>
    </w:p>
    <w:p w:rsidR="00755E3E" w:rsidRDefault="00790C16" w:rsidP="00790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90C16" w:rsidRPr="007C194C" w:rsidRDefault="003D0831" w:rsidP="00790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1B02CD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7F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Берёзовск</w:t>
      </w:r>
      <w:r w:rsidR="00790C16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proofErr w:type="gramEnd"/>
    </w:p>
    <w:p w:rsidR="00553B33" w:rsidRPr="00054158" w:rsidRDefault="00790C16" w:rsidP="00054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proofErr w:type="gramEnd"/>
      <w:r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                           </w:t>
      </w:r>
      <w:r w:rsidR="00EC6DF7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</w:t>
      </w:r>
      <w:r w:rsidR="003D0831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Г.Н</w:t>
      </w:r>
      <w:r w:rsidR="00EC6DF7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447F8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6DF7" w:rsidRPr="007C1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Касьянова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C194C" w:rsidRDefault="007C194C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AF6C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7FB1" w:rsidRDefault="00437FB1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790C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3DA" w:rsidRDefault="00BC53DA" w:rsidP="000541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53DA" w:rsidSect="006E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749C"/>
    <w:multiLevelType w:val="hybridMultilevel"/>
    <w:tmpl w:val="3D8A3C78"/>
    <w:lvl w:ilvl="0" w:tplc="43A6BE4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8CD7DD3"/>
    <w:multiLevelType w:val="multilevel"/>
    <w:tmpl w:val="9AAE9B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472E13"/>
    <w:multiLevelType w:val="multilevel"/>
    <w:tmpl w:val="90D24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AF405D"/>
    <w:multiLevelType w:val="hybridMultilevel"/>
    <w:tmpl w:val="8EC6EEAC"/>
    <w:lvl w:ilvl="0" w:tplc="D388A51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46340"/>
    <w:multiLevelType w:val="hybridMultilevel"/>
    <w:tmpl w:val="0150D866"/>
    <w:lvl w:ilvl="0" w:tplc="BCEA1244">
      <w:start w:val="1"/>
      <w:numFmt w:val="decimal"/>
      <w:lvlText w:val="%1)"/>
      <w:lvlJc w:val="left"/>
      <w:pPr>
        <w:ind w:left="113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56CD43F1"/>
    <w:multiLevelType w:val="hybridMultilevel"/>
    <w:tmpl w:val="A8508D20"/>
    <w:lvl w:ilvl="0" w:tplc="EECCA4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D6446EE"/>
    <w:multiLevelType w:val="hybridMultilevel"/>
    <w:tmpl w:val="24B8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1E4"/>
    <w:rsid w:val="000122B2"/>
    <w:rsid w:val="00054158"/>
    <w:rsid w:val="000733FA"/>
    <w:rsid w:val="00085B3C"/>
    <w:rsid w:val="000A6F95"/>
    <w:rsid w:val="000B509C"/>
    <w:rsid w:val="000C113B"/>
    <w:rsid w:val="001119DA"/>
    <w:rsid w:val="00115213"/>
    <w:rsid w:val="00137DD9"/>
    <w:rsid w:val="00146D41"/>
    <w:rsid w:val="00184C73"/>
    <w:rsid w:val="001A00DD"/>
    <w:rsid w:val="001A0A19"/>
    <w:rsid w:val="001A553D"/>
    <w:rsid w:val="001B02CD"/>
    <w:rsid w:val="001D06A1"/>
    <w:rsid w:val="002027F2"/>
    <w:rsid w:val="00267E9C"/>
    <w:rsid w:val="002811ED"/>
    <w:rsid w:val="002E1635"/>
    <w:rsid w:val="00313142"/>
    <w:rsid w:val="0032306F"/>
    <w:rsid w:val="00381A76"/>
    <w:rsid w:val="003B4807"/>
    <w:rsid w:val="003D0831"/>
    <w:rsid w:val="003D524B"/>
    <w:rsid w:val="003D615C"/>
    <w:rsid w:val="00425659"/>
    <w:rsid w:val="00437FB1"/>
    <w:rsid w:val="0046700E"/>
    <w:rsid w:val="004A2D5B"/>
    <w:rsid w:val="004A6849"/>
    <w:rsid w:val="004C067F"/>
    <w:rsid w:val="004C06F7"/>
    <w:rsid w:val="004E111F"/>
    <w:rsid w:val="004F6A4B"/>
    <w:rsid w:val="00514B74"/>
    <w:rsid w:val="0051682D"/>
    <w:rsid w:val="00520EF5"/>
    <w:rsid w:val="00526EC8"/>
    <w:rsid w:val="00553B33"/>
    <w:rsid w:val="005576C7"/>
    <w:rsid w:val="00590AF6"/>
    <w:rsid w:val="005A2492"/>
    <w:rsid w:val="005B5988"/>
    <w:rsid w:val="005F2BB3"/>
    <w:rsid w:val="006442A4"/>
    <w:rsid w:val="0068101E"/>
    <w:rsid w:val="006944A5"/>
    <w:rsid w:val="006D126C"/>
    <w:rsid w:val="006D2C0D"/>
    <w:rsid w:val="006E08EF"/>
    <w:rsid w:val="00733F3C"/>
    <w:rsid w:val="00746DEC"/>
    <w:rsid w:val="00755E3E"/>
    <w:rsid w:val="0077698D"/>
    <w:rsid w:val="00790C16"/>
    <w:rsid w:val="007B1FFE"/>
    <w:rsid w:val="007C194C"/>
    <w:rsid w:val="007D3EB8"/>
    <w:rsid w:val="00803763"/>
    <w:rsid w:val="008845FA"/>
    <w:rsid w:val="00910BAC"/>
    <w:rsid w:val="00930874"/>
    <w:rsid w:val="009428C7"/>
    <w:rsid w:val="009447F8"/>
    <w:rsid w:val="009D7087"/>
    <w:rsid w:val="009F61E4"/>
    <w:rsid w:val="00A073A7"/>
    <w:rsid w:val="00A54B70"/>
    <w:rsid w:val="00A7240A"/>
    <w:rsid w:val="00A81792"/>
    <w:rsid w:val="00A906D3"/>
    <w:rsid w:val="00AB2EBE"/>
    <w:rsid w:val="00AF6C6B"/>
    <w:rsid w:val="00B05C8C"/>
    <w:rsid w:val="00B05FFF"/>
    <w:rsid w:val="00B21C90"/>
    <w:rsid w:val="00B53C70"/>
    <w:rsid w:val="00B77AD5"/>
    <w:rsid w:val="00B811EE"/>
    <w:rsid w:val="00BA228E"/>
    <w:rsid w:val="00BC53DA"/>
    <w:rsid w:val="00C0055A"/>
    <w:rsid w:val="00C13A38"/>
    <w:rsid w:val="00CB6FDE"/>
    <w:rsid w:val="00CC3B53"/>
    <w:rsid w:val="00CF63D0"/>
    <w:rsid w:val="00D564C4"/>
    <w:rsid w:val="00D6411B"/>
    <w:rsid w:val="00D661DD"/>
    <w:rsid w:val="00D73725"/>
    <w:rsid w:val="00D828C8"/>
    <w:rsid w:val="00D91DE2"/>
    <w:rsid w:val="00DB5140"/>
    <w:rsid w:val="00DC289C"/>
    <w:rsid w:val="00E13174"/>
    <w:rsid w:val="00E3201F"/>
    <w:rsid w:val="00E92CD8"/>
    <w:rsid w:val="00EB33A3"/>
    <w:rsid w:val="00EC690E"/>
    <w:rsid w:val="00EC6DF7"/>
    <w:rsid w:val="00F14BDB"/>
    <w:rsid w:val="00F366E4"/>
    <w:rsid w:val="00F51CD6"/>
    <w:rsid w:val="00FA68FF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033789-93F4-4DEF-A50D-6B62F924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EF"/>
  </w:style>
  <w:style w:type="paragraph" w:styleId="3">
    <w:name w:val="heading 3"/>
    <w:basedOn w:val="a"/>
    <w:link w:val="30"/>
    <w:uiPriority w:val="9"/>
    <w:qFormat/>
    <w:rsid w:val="00111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E4"/>
    <w:pPr>
      <w:ind w:left="720"/>
      <w:contextualSpacing/>
    </w:pPr>
  </w:style>
  <w:style w:type="table" w:styleId="a4">
    <w:name w:val="Table Grid"/>
    <w:basedOn w:val="a1"/>
    <w:uiPriority w:val="59"/>
    <w:rsid w:val="009F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11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1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66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BFF45-E494-4EB1-B140-202DFA39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DEXP-1</cp:lastModifiedBy>
  <cp:revision>42</cp:revision>
  <cp:lastPrinted>2023-09-28T06:18:00Z</cp:lastPrinted>
  <dcterms:created xsi:type="dcterms:W3CDTF">2017-02-13T12:56:00Z</dcterms:created>
  <dcterms:modified xsi:type="dcterms:W3CDTF">2023-09-28T06:22:00Z</dcterms:modified>
</cp:coreProperties>
</file>